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968" w:rsidRDefault="004E4968" w:rsidP="00126867">
      <w:pPr>
        <w:shd w:val="clear" w:color="auto" w:fill="FFFFFF"/>
        <w:spacing w:after="0" w:line="240" w:lineRule="auto"/>
        <w:rPr>
          <w:rFonts w:ascii="Arial" w:eastAsia="Times New Roman" w:hAnsi="Arial" w:cs="Arial"/>
          <w:color w:val="000000"/>
          <w:sz w:val="21"/>
          <w:szCs w:val="21"/>
          <w:lang w:val="en-US" w:eastAsia="fr-FR"/>
        </w:rPr>
      </w:pPr>
      <w:r>
        <w:rPr>
          <w:noProof/>
          <w:lang w:eastAsia="fr-FR"/>
        </w:rPr>
        <w:drawing>
          <wp:anchor distT="0" distB="0" distL="114300" distR="114300" simplePos="0" relativeHeight="251659264" behindDoc="0" locked="0" layoutInCell="1" allowOverlap="1" wp14:anchorId="43118698" wp14:editId="12655C79">
            <wp:simplePos x="0" y="0"/>
            <wp:positionH relativeFrom="column">
              <wp:posOffset>1533525</wp:posOffset>
            </wp:positionH>
            <wp:positionV relativeFrom="paragraph">
              <wp:posOffset>-555625</wp:posOffset>
            </wp:positionV>
            <wp:extent cx="3571875" cy="1016259"/>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XIMO EXPERTISE.jpg"/>
                    <pic:cNvPicPr/>
                  </pic:nvPicPr>
                  <pic:blipFill>
                    <a:blip r:embed="rId6">
                      <a:extLst>
                        <a:ext uri="{28A0092B-C50C-407E-A947-70E740481C1C}">
                          <a14:useLocalDpi xmlns:a14="http://schemas.microsoft.com/office/drawing/2010/main" val="0"/>
                        </a:ext>
                      </a:extLst>
                    </a:blip>
                    <a:stretch>
                      <a:fillRect/>
                    </a:stretch>
                  </pic:blipFill>
                  <pic:spPr>
                    <a:xfrm>
                      <a:off x="0" y="0"/>
                      <a:ext cx="3571875" cy="1016259"/>
                    </a:xfrm>
                    <a:prstGeom prst="rect">
                      <a:avLst/>
                    </a:prstGeom>
                  </pic:spPr>
                </pic:pic>
              </a:graphicData>
            </a:graphic>
            <wp14:sizeRelH relativeFrom="page">
              <wp14:pctWidth>0</wp14:pctWidth>
            </wp14:sizeRelH>
            <wp14:sizeRelV relativeFrom="page">
              <wp14:pctHeight>0</wp14:pctHeight>
            </wp14:sizeRelV>
          </wp:anchor>
        </w:drawing>
      </w:r>
    </w:p>
    <w:p w:rsidR="00126867" w:rsidRDefault="00126867" w:rsidP="00126867">
      <w:pPr>
        <w:shd w:val="clear" w:color="auto" w:fill="FFFFFF"/>
        <w:spacing w:after="0" w:line="240" w:lineRule="auto"/>
        <w:rPr>
          <w:rFonts w:ascii="Arial" w:eastAsia="Times New Roman" w:hAnsi="Arial" w:cs="Arial"/>
          <w:color w:val="000000"/>
          <w:sz w:val="21"/>
          <w:szCs w:val="21"/>
          <w:lang w:val="en-US" w:eastAsia="fr-FR"/>
        </w:rPr>
      </w:pPr>
    </w:p>
    <w:p w:rsidR="00126867" w:rsidRPr="00126867" w:rsidRDefault="00126867" w:rsidP="00126867">
      <w:pPr>
        <w:shd w:val="clear" w:color="auto" w:fill="FFFFFF"/>
        <w:spacing w:after="0" w:line="240" w:lineRule="auto"/>
        <w:rPr>
          <w:rFonts w:ascii="Arial" w:eastAsia="Times New Roman" w:hAnsi="Arial" w:cs="Arial"/>
          <w:color w:val="000000"/>
          <w:sz w:val="21"/>
          <w:szCs w:val="21"/>
          <w:lang w:val="en-US" w:eastAsia="fr-FR"/>
        </w:rPr>
      </w:pPr>
    </w:p>
    <w:p w:rsidR="00126867" w:rsidRPr="00126867" w:rsidRDefault="00126867" w:rsidP="00126867">
      <w:pPr>
        <w:spacing w:after="0" w:line="240" w:lineRule="auto"/>
        <w:jc w:val="center"/>
        <w:rPr>
          <w:rFonts w:asciiTheme="majorHAnsi" w:eastAsia="Times New Roman" w:hAnsiTheme="majorHAnsi" w:cstheme="minorHAnsi"/>
          <w:bCs/>
          <w:iCs/>
          <w:sz w:val="16"/>
          <w:szCs w:val="16"/>
          <w:lang w:eastAsia="fr-FR"/>
        </w:rPr>
      </w:pPr>
      <w:r w:rsidRPr="00126867">
        <w:rPr>
          <w:rFonts w:asciiTheme="majorHAnsi" w:eastAsia="Times New Roman" w:hAnsiTheme="majorHAnsi" w:cstheme="minorHAnsi"/>
          <w:bCs/>
          <w:iCs/>
          <w:sz w:val="16"/>
          <w:szCs w:val="16"/>
          <w:lang w:eastAsia="fr-FR"/>
        </w:rPr>
        <w:t>Société inscrite au tableau de l’Ordre des Experts Comptables de Casablanca, des Régions du Centre, du Tensift et du Sud</w:t>
      </w:r>
    </w:p>
    <w:p w:rsidR="00126867" w:rsidRPr="00126867" w:rsidRDefault="00126867" w:rsidP="00126867">
      <w:pPr>
        <w:spacing w:after="0" w:line="240" w:lineRule="auto"/>
        <w:jc w:val="center"/>
        <w:rPr>
          <w:rFonts w:asciiTheme="majorHAnsi" w:eastAsia="Times New Roman" w:hAnsiTheme="majorHAnsi" w:cstheme="minorHAnsi"/>
          <w:bCs/>
          <w:iCs/>
          <w:sz w:val="16"/>
          <w:szCs w:val="16"/>
          <w:lang w:eastAsia="fr-FR"/>
        </w:rPr>
      </w:pPr>
      <w:r w:rsidRPr="00126867">
        <w:rPr>
          <w:rFonts w:asciiTheme="majorHAnsi" w:eastAsia="Times New Roman" w:hAnsiTheme="majorHAnsi" w:cstheme="minorHAnsi"/>
          <w:bCs/>
          <w:iCs/>
          <w:noProof/>
          <w:sz w:val="16"/>
          <w:szCs w:val="16"/>
          <w:lang w:eastAsia="fr-FR"/>
        </w:rPr>
        <mc:AlternateContent>
          <mc:Choice Requires="wps">
            <w:drawing>
              <wp:anchor distT="0" distB="0" distL="114300" distR="114300" simplePos="0" relativeHeight="251663360" behindDoc="0" locked="0" layoutInCell="1" allowOverlap="1" wp14:anchorId="6ACC3D1C" wp14:editId="385139F5">
                <wp:simplePos x="0" y="0"/>
                <wp:positionH relativeFrom="column">
                  <wp:posOffset>243205</wp:posOffset>
                </wp:positionH>
                <wp:positionV relativeFrom="paragraph">
                  <wp:posOffset>69215</wp:posOffset>
                </wp:positionV>
                <wp:extent cx="5267325" cy="1"/>
                <wp:effectExtent l="0" t="0" r="9525" b="19050"/>
                <wp:wrapNone/>
                <wp:docPr id="7" name="Connecteur droit 7"/>
                <wp:cNvGraphicFramePr/>
                <a:graphic xmlns:a="http://schemas.openxmlformats.org/drawingml/2006/main">
                  <a:graphicData uri="http://schemas.microsoft.com/office/word/2010/wordprocessingShape">
                    <wps:wsp>
                      <wps:cNvCnPr/>
                      <wps:spPr>
                        <a:xfrm flipV="1">
                          <a:off x="0" y="0"/>
                          <a:ext cx="5267325" cy="1"/>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Connecteur droit 7"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15pt,5.45pt" to="433.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5S2QEAAJ4DAAAOAAAAZHJzL2Uyb0RvYy54bWysU8lu2zAQvRfoPxC815LcOk4EywFqw710&#10;MZC29zEXiQA3kIxl/32HlGKk7a3oheAsfDPv6WnzeDGanEWIytmONouaEmGZ48r2Hf3x/fDunpKY&#10;wHLQzoqOXkWkj9u3bzajb8XSDU5zEQiC2NiOvqNDSr6tqsgGYSAunBcWi9IFAwnD0Fc8wIjoRlfL&#10;ur6rRhe4D46JGDG7n4p0W/ClFCx9kzKKRHRHcbdUzlDOUz6r7QbaPoAfFJvXgH/YwoCyOPQGtYcE&#10;5Dmov6CMYsFFJ9OCOVM5KRUThQOyaeo/2DwN4EXhguJEf5Mp/j9Y9vV8DETxjq4psWDwE+2ctaib&#10;eA6EB6cSWWeVRh9bbN7ZY5ij6I8hU77IYIjUyv9EAxQRkBa5FI2vN43FJRGGydXybv1+uaKEYa3J&#10;yNUEkaF8iOmTcIbkS0e1spk+tHD+HNPU+tKS09YdlNaYh1ZbMnb0YVWQAY0kNSQcYjxSi7anBHSP&#10;DmUpFMTotOL5dX4cQ3/a6UDOgC75cLhvPu6npgG4mLIPq7qe3RIhfXF8Sjf1Sx5ZzDCF0W/4eec9&#10;xGF6U0ozcW3zfFGMOlPMQk/S5tvJ8WtRvMoRmqCgz4bNLnsd4/31b7X9BQAA//8DAFBLAwQUAAYA&#10;CAAAACEAqFeKnNwAAAAIAQAADwAAAGRycy9kb3ducmV2LnhtbEyPwU7DMBBE70j8g7VI3KgDlUoI&#10;caoIKRdAQgQuvTnxNk4br6PYbdO/ZxEHetyZ0eybfD27QRxxCr0nBfeLBARS601PnYLvr+ouBRGi&#10;JqMHT6jgjAHWxfVVrjPjT/SJxzp2gksoZFqBjXHMpAytRafDwo9I7G395HTkc+qkmfSJy90gH5Jk&#10;JZ3uiT9YPeKLxXZfH5yCquntW+mr7v3sdljvy0358bpR6vZmLp9BRJzjfxh+8RkdCmZq/IFMEIOC&#10;ZbrkJOvJEwj209UjT2n+BFnk8nJA8QMAAP//AwBQSwECLQAUAAYACAAAACEAtoM4kv4AAADhAQAA&#10;EwAAAAAAAAAAAAAAAAAAAAAAW0NvbnRlbnRfVHlwZXNdLnhtbFBLAQItABQABgAIAAAAIQA4/SH/&#10;1gAAAJQBAAALAAAAAAAAAAAAAAAAAC8BAABfcmVscy8ucmVsc1BLAQItABQABgAIAAAAIQBKvd5S&#10;2QEAAJ4DAAAOAAAAAAAAAAAAAAAAAC4CAABkcnMvZTJvRG9jLnhtbFBLAQItABQABgAIAAAAIQCo&#10;V4qc3AAAAAgBAAAPAAAAAAAAAAAAAAAAADMEAABkcnMvZG93bnJldi54bWxQSwUGAAAAAAQABADz&#10;AAAAPAUAAAAA&#10;" strokecolor="#4a7ebb"/>
            </w:pict>
          </mc:Fallback>
        </mc:AlternateContent>
      </w:r>
      <w:r w:rsidRPr="00126867">
        <w:rPr>
          <w:rFonts w:asciiTheme="majorHAnsi" w:eastAsia="Times New Roman" w:hAnsiTheme="majorHAnsi" w:cstheme="minorHAnsi"/>
          <w:bCs/>
          <w:iCs/>
          <w:noProof/>
          <w:sz w:val="16"/>
          <w:szCs w:val="16"/>
          <w:lang w:eastAsia="fr-FR"/>
        </w:rPr>
        <mc:AlternateContent>
          <mc:Choice Requires="wps">
            <w:drawing>
              <wp:anchor distT="0" distB="0" distL="114300" distR="114300" simplePos="0" relativeHeight="251661312" behindDoc="0" locked="0" layoutInCell="0" allowOverlap="1" wp14:anchorId="1F293D4E" wp14:editId="0C218FE3">
                <wp:simplePos x="0" y="0"/>
                <wp:positionH relativeFrom="page">
                  <wp:posOffset>9497060</wp:posOffset>
                </wp:positionH>
                <wp:positionV relativeFrom="page">
                  <wp:posOffset>5069205</wp:posOffset>
                </wp:positionV>
                <wp:extent cx="9251950" cy="553720"/>
                <wp:effectExtent l="44450" t="43815" r="40005" b="3873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251950" cy="553720"/>
                        </a:xfrm>
                        <a:prstGeom prst="rect">
                          <a:avLst/>
                        </a:prstGeom>
                        <a:noFill/>
                        <a:ln w="76200" cmpd="thickThin">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26867" w:rsidRDefault="00126867" w:rsidP="00126867">
                            <w:pPr>
                              <w:widowControl w:val="0"/>
                              <w:jc w:val="center"/>
                              <w:rPr>
                                <w:rFonts w:ascii="Gill Sans MT" w:hAnsi="Gill Sans MT"/>
                              </w:rPr>
                            </w:pPr>
                            <w:r>
                              <w:rPr>
                                <w:b/>
                                <w:bCs/>
                              </w:rPr>
                              <w:t xml:space="preserve">SARL, Au capital de 1.500 000 Dirhams - Patente : 45105284 - I.F: 1680177 </w:t>
                            </w:r>
                            <w:r>
                              <w:rPr>
                                <w:b/>
                                <w:bCs/>
                              </w:rPr>
                              <w:br/>
                              <w:t xml:space="preserve"> CNSS: 6621397 - RC Marrakech : 20585</w:t>
                            </w:r>
                          </w:p>
                          <w:p w:rsidR="00126867" w:rsidRDefault="00126867" w:rsidP="00126867">
                            <w:pPr>
                              <w:widowControl w:val="0"/>
                              <w:spacing w:line="273" w:lineRule="auto"/>
                            </w:pPr>
                            <w:r>
                              <w:t>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747.8pt;margin-top:399.15pt;width:728.5pt;height:43.6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K1mAIAADkFAAAOAAAAZHJzL2Uyb0RvYy54bWysVF1v2yAUfZ+0/4B4Tx0nzpcVp+riZJrU&#10;fUjtXvZGAMeoGBiQ2N20/74LTtN0e6mm+QED9/pwzz3HLK+7RqIjt05oVeD0aogRV1QzofYF/nq/&#10;Hcwxcp4oRqRWvMCP3OHr1ds3y9bkfKRrLRm3CECUy1tT4Np7kyeJozVviLvShisIVto2xMPS7hNm&#10;SQvojUxGw+E0abVlxmrKnYPdsg/iVcSvKk7956py3CNZYKjNx9HGcRfGZLUk+d4SUwt6KoP8QxUN&#10;EQoOPUOVxBN0sOIvqEZQq52u/BXVTaKrSlAeOQCbdPgHm7uaGB65QHOcObfJ/T9Y+un4xSLBCpxh&#10;pEgDEn0DoRDjyPPOc5SFFrXG5ZB5ZyDXd+90B1JHus7cavrgkNLrmqg9v7FWtzUnDEpMw5fJxac9&#10;jgsgu/ajZnAWOXgdgbrKNshq0Cedgq7wxG1oEILDQLnHs1pQFqKwuRhN0sUEQhRik8l4NopyJiQP&#10;YEEMY51/z3WDwqTAFtwQUcnx1vlQ3HNKSFd6K6SMjpAKtQWehVIAvzHQHw8OebivTzo7LQUL6eFD&#10;Z/e7tbToSMBl2/hE7hC5TGuEB69L0RR43lOMZ4V2bRSLc0+E7OdQm1QBHOhCtadZ76mfi+FiM9/M&#10;s0E2mm4G2bAsBzfbdTaYbtPZpByX63WZ/gpU0yyvBWNchVKf/J1mr/PP6U/rnXl2+AtKr2KevCwj&#10;9h1YPb0ju+iTYI3eJL7bddCQYJ6dZo/gmOgNEAPuGpCy1vYHRi38twV23w/EcozkBxVcN56lU8jz&#10;cbVIswwW9kVodxkiigJYgam3GPWLte8viIOxYl/Dab3Xlb4Bt1YiOue5spPH4f+MhE53SbgALtcx&#10;6/nGW/0GAAD//wMAUEsDBBQABgAIAAAAIQDapfgA5AAAAA4BAAAPAAAAZHJzL2Rvd25yZXYueG1s&#10;TI9NT8MwDIbvSPyHyEhcEEvbbe1Umk6AxAWJSewD7Zg1pq1onNJkW/fvMSc42u+j14+L5Wg7ccLB&#10;t44UxJMIBFLlTEu1gu3m5X4BwgdNRneOUMEFPSzL66tC58ad6R1P61ALLiGfawVNCH0upa8atNpP&#10;XI/E2acbrA48DrU0gz5zue1kEkWptLolvtDoHp8brL7WR6sA79K3C+33GtMPk71+T8fNavek1O3N&#10;+PgAIuAY/mD41Wd1KNnp4I5kvOgUJPEimjPLSTydgWAkSdIsA3Hg1TyLZiDLQv5/o/wBAAD//wMA&#10;UEsBAi0AFAAGAAgAAAAhALaDOJL+AAAA4QEAABMAAAAAAAAAAAAAAAAAAAAAAFtDb250ZW50X1R5&#10;cGVzXS54bWxQSwECLQAUAAYACAAAACEAOP0h/9YAAACUAQAACwAAAAAAAAAAAAAAAAAvAQAAX3Jl&#10;bHMvLnJlbHNQSwECLQAUAAYACAAAACEALblitZgCAAA5BQAADgAAAAAAAAAAAAAAAAAuAgAAZHJz&#10;L2Uyb0RvYy54bWxQSwECLQAUAAYACAAAACEA2qX4AOQAAAAOAQAADwAAAAAAAAAAAAAAAADyBAAA&#10;ZHJzL2Rvd25yZXYueG1sUEsFBgAAAAAEAAQA8wAAAAMGAAAAAA==&#10;" o:allowincell="f" filled="f" strokecolor="white" strokeweight="6pt">
                <v:stroke linestyle="thickThin"/>
                <v:textbox inset="10.8pt,7.2pt,10.8pt,7.2pt">
                  <w:txbxContent>
                    <w:p w:rsidR="00126867" w:rsidRDefault="00126867" w:rsidP="00126867">
                      <w:pPr>
                        <w:widowControl w:val="0"/>
                        <w:jc w:val="center"/>
                        <w:rPr>
                          <w:rFonts w:ascii="Gill Sans MT" w:hAnsi="Gill Sans MT"/>
                        </w:rPr>
                      </w:pPr>
                      <w:r>
                        <w:rPr>
                          <w:b/>
                          <w:bCs/>
                        </w:rPr>
                        <w:t xml:space="preserve">SARL, Au capital de 1.500 000 Dirhams - Patente : 45105284 - I.F: 1680177 </w:t>
                      </w:r>
                      <w:r>
                        <w:rPr>
                          <w:b/>
                          <w:bCs/>
                        </w:rPr>
                        <w:br/>
                        <w:t xml:space="preserve"> CNSS: 6621397 - RC Marrakech : 20585</w:t>
                      </w:r>
                    </w:p>
                    <w:p w:rsidR="00126867" w:rsidRDefault="00126867" w:rsidP="00126867">
                      <w:pPr>
                        <w:widowControl w:val="0"/>
                        <w:spacing w:line="273" w:lineRule="auto"/>
                      </w:pPr>
                      <w:r>
                        <w:t> </w:t>
                      </w:r>
                    </w:p>
                  </w:txbxContent>
                </v:textbox>
                <w10:wrap anchorx="page" anchory="page"/>
              </v:shape>
            </w:pict>
          </mc:Fallback>
        </mc:AlternateContent>
      </w:r>
      <w:r w:rsidRPr="00126867">
        <w:rPr>
          <w:rFonts w:asciiTheme="majorHAnsi" w:eastAsia="Times New Roman" w:hAnsiTheme="majorHAnsi" w:cstheme="minorHAnsi"/>
          <w:bCs/>
          <w:iCs/>
          <w:noProof/>
          <w:sz w:val="16"/>
          <w:szCs w:val="16"/>
          <w:lang w:eastAsia="fr-FR"/>
        </w:rPr>
        <mc:AlternateContent>
          <mc:Choice Requires="wps">
            <w:drawing>
              <wp:anchor distT="0" distB="0" distL="114300" distR="114300" simplePos="0" relativeHeight="251662336" behindDoc="0" locked="0" layoutInCell="0" allowOverlap="1" wp14:anchorId="7E99B3EE" wp14:editId="6998A1B4">
                <wp:simplePos x="0" y="0"/>
                <wp:positionH relativeFrom="page">
                  <wp:posOffset>8358505</wp:posOffset>
                </wp:positionH>
                <wp:positionV relativeFrom="page">
                  <wp:posOffset>5321300</wp:posOffset>
                </wp:positionV>
                <wp:extent cx="9251950" cy="553720"/>
                <wp:effectExtent l="39370" t="38735" r="45085" b="4381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251950" cy="553720"/>
                        </a:xfrm>
                        <a:prstGeom prst="rect">
                          <a:avLst/>
                        </a:prstGeom>
                        <a:noFill/>
                        <a:ln w="76200" cmpd="thickThin">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26867" w:rsidRDefault="00126867" w:rsidP="00126867">
                            <w:pPr>
                              <w:widowControl w:val="0"/>
                              <w:jc w:val="center"/>
                              <w:rPr>
                                <w:rFonts w:ascii="Gill Sans MT" w:hAnsi="Gill Sans MT"/>
                              </w:rPr>
                            </w:pPr>
                            <w:r>
                              <w:rPr>
                                <w:b/>
                                <w:bCs/>
                              </w:rPr>
                              <w:t xml:space="preserve">SARL, Au capital de 1.500 000 Dirhams - Patente : 45105284 - I.F: 1680177 </w:t>
                            </w:r>
                            <w:r>
                              <w:rPr>
                                <w:b/>
                                <w:bCs/>
                              </w:rPr>
                              <w:br/>
                              <w:t xml:space="preserve"> CNSS: 6621397 - RC Marrakech : 20585</w:t>
                            </w:r>
                          </w:p>
                          <w:p w:rsidR="00126867" w:rsidRDefault="00126867" w:rsidP="00126867">
                            <w:pPr>
                              <w:widowControl w:val="0"/>
                              <w:spacing w:line="273" w:lineRule="auto"/>
                            </w:pPr>
                            <w:r>
                              <w:t>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Zone de texte 6" o:spid="_x0000_s1027" type="#_x0000_t202" style="position:absolute;left:0;text-align:left;margin-left:658.15pt;margin-top:419pt;width:728.5pt;height:43.6pt;rotation:-9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cCmwIAAEAFAAAOAAAAZHJzL2Uyb0RvYy54bWysVF1v2yAUfZ+0/4B4Tx2njpNYdaouTqZJ&#10;3YfU7mVvBHCMioEBid1N+++74DRNt5dqmh8wcK8P59x7zNV130p04NYJrUqcXowx4opqJtSuxF/v&#10;N6M5Rs4TxYjUipf4kTt8vXz75qozBZ/oRkvGLQIQ5YrOlLjx3hRJ4mjDW+IutOEKgrW2LfGwtLuE&#10;WdIBeiuTyXicJ522zFhNuXOwWw1BvIz4dc2p/1zXjnskSwzcfBxtHLdhTJZXpNhZYhpBjzTIP7Bo&#10;iVBw6AmqIp6gvRV/QbWCWu107S+obhNd14LyqAHUpOM/1Nw1xPCoBYrjzKlM7v/B0k+HLxYJVuIc&#10;I0VaaNE3aBRiHHnee47yUKLOuAIy7wzk+v6d7qHVUa4zt5o+OKT0qiFqx2+s1V3DCQOKafgyOft0&#10;wHEBZNt91AzOInuvI1Bf2xZZDf1Jc+grPHEbCoTgMOjc46lbQAtR2FxMpuliCiEKsen0cjaJ7UxI&#10;EcBCM4x1/j3XLQqTEltwQ0Qlh1vnA7nnlJCu9EZIGR0hFepKPAtUAL81UB8PDnm4b459dloKFtLD&#10;h87utitp0YGAyzbxidohcp7WCg9el6It8XyQGM8K5VorFueeCDnMgZtUARzkAtvjbPDUz8V4sZ6v&#10;59kom+TrUTauqtHNZpWN8k06m1aX1WpVpb+C1DQrGsEYV4Hqk7/T7HX+Of5pgzNPDn8h6VXKk5c0&#10;Yt1B1dM7qos+CdYYTOL7bR9dGU0UPLTV7BGMEy0CPYErBzraaPsDow5+3xK773tiOUbygwrmu5yl&#10;OeT5uFqkWQYL+yK0PQ8RRQGsxNRbjIbFyg/3xN5YsWvgtMHySt+AaWsRDfTM7Gh1+E2jruOVEu6B&#10;83XMer74lr8BAAD//wMAUEsDBBQABgAIAAAAIQAYiHwG4gAAAA4BAAAPAAAAZHJzL2Rvd25yZXYu&#10;eG1sTI/BTsMwDIbvSLxDZCQuiCXtoKtK0wmQuCCBxMbQjllj2orGKU22dW+POcHR/n99/lwuJ9eL&#10;A46h86QhmSkQSLW3HTUa3tdP1zmIEA1Z03tCDScMsKzOz0pTWH+kNzysYiMYQqEwGtoYh0LKULfo&#10;TJj5AYmzTz86E3kcG2lHc2S462WqVCad6YgvtGbAxxbrr9XeacCr7OVE263B7MMunr/n0/p186D1&#10;5cV0fwci4hT/yvCrz+pQsdPO78kG0WtgepJyl5PbeQKCK6nK8xsQO15liUpAVqX8/0b1AwAA//8D&#10;AFBLAQItABQABgAIAAAAIQC2gziS/gAAAOEBAAATAAAAAAAAAAAAAAAAAAAAAABbQ29udGVudF9U&#10;eXBlc10ueG1sUEsBAi0AFAAGAAgAAAAhADj9If/WAAAAlAEAAAsAAAAAAAAAAAAAAAAALwEAAF9y&#10;ZWxzLy5yZWxzUEsBAi0AFAAGAAgAAAAhAAe7pwKbAgAAQAUAAA4AAAAAAAAAAAAAAAAALgIAAGRy&#10;cy9lMm9Eb2MueG1sUEsBAi0AFAAGAAgAAAAhABiIfAbiAAAADgEAAA8AAAAAAAAAAAAAAAAA9QQA&#10;AGRycy9kb3ducmV2LnhtbFBLBQYAAAAABAAEAPMAAAAEBgAAAAA=&#10;" o:allowincell="f" filled="f" strokecolor="white" strokeweight="6pt">
                <v:stroke linestyle="thickThin"/>
                <v:textbox inset="10.8pt,7.2pt,10.8pt,7.2pt">
                  <w:txbxContent>
                    <w:p w:rsidR="00126867" w:rsidRDefault="00126867" w:rsidP="00126867">
                      <w:pPr>
                        <w:widowControl w:val="0"/>
                        <w:jc w:val="center"/>
                        <w:rPr>
                          <w:rFonts w:ascii="Gill Sans MT" w:hAnsi="Gill Sans MT"/>
                        </w:rPr>
                      </w:pPr>
                      <w:r>
                        <w:rPr>
                          <w:b/>
                          <w:bCs/>
                        </w:rPr>
                        <w:t xml:space="preserve">SARL, Au capital de 1.500 000 Dirhams - Patente : 45105284 - I.F: 1680177 </w:t>
                      </w:r>
                      <w:r>
                        <w:rPr>
                          <w:b/>
                          <w:bCs/>
                        </w:rPr>
                        <w:br/>
                        <w:t xml:space="preserve"> CNSS: 6621397 - RC Marrakech : 20585</w:t>
                      </w:r>
                    </w:p>
                    <w:p w:rsidR="00126867" w:rsidRDefault="00126867" w:rsidP="00126867">
                      <w:pPr>
                        <w:widowControl w:val="0"/>
                        <w:spacing w:line="273" w:lineRule="auto"/>
                      </w:pPr>
                      <w:r>
                        <w:t> </w:t>
                      </w:r>
                    </w:p>
                  </w:txbxContent>
                </v:textbox>
                <w10:wrap anchorx="page" anchory="page"/>
              </v:shape>
            </w:pict>
          </mc:Fallback>
        </mc:AlternateContent>
      </w:r>
    </w:p>
    <w:p w:rsidR="00126867" w:rsidRPr="00126867" w:rsidRDefault="00126867" w:rsidP="00126867">
      <w:pPr>
        <w:tabs>
          <w:tab w:val="center" w:pos="4536"/>
          <w:tab w:val="right" w:pos="9072"/>
        </w:tabs>
        <w:spacing w:after="0" w:line="240" w:lineRule="auto"/>
        <w:jc w:val="center"/>
        <w:rPr>
          <w:rFonts w:asciiTheme="majorHAnsi" w:eastAsia="Times New Roman" w:hAnsiTheme="majorHAnsi"/>
          <w:b/>
          <w:bCs/>
          <w:sz w:val="16"/>
          <w:szCs w:val="18"/>
          <w:lang w:eastAsia="fr-FR"/>
        </w:rPr>
      </w:pPr>
      <w:r w:rsidRPr="00126867">
        <w:rPr>
          <w:rFonts w:asciiTheme="majorHAnsi" w:eastAsia="Times New Roman" w:hAnsiTheme="majorHAnsi"/>
          <w:b/>
          <w:bCs/>
          <w:sz w:val="16"/>
          <w:szCs w:val="18"/>
          <w:lang w:eastAsia="fr-FR"/>
        </w:rPr>
        <w:t>Membre Indépendant du Réseau DFK International</w:t>
      </w:r>
    </w:p>
    <w:p w:rsidR="004E4968" w:rsidRDefault="004E4968" w:rsidP="00112285">
      <w:pPr>
        <w:shd w:val="clear" w:color="auto" w:fill="FFFFFF"/>
        <w:spacing w:after="0" w:line="240" w:lineRule="auto"/>
        <w:jc w:val="center"/>
        <w:rPr>
          <w:rFonts w:asciiTheme="minorHAnsi" w:hAnsiTheme="minorHAnsi" w:cstheme="minorBidi"/>
          <w:sz w:val="22"/>
        </w:rPr>
      </w:pPr>
    </w:p>
    <w:p w:rsidR="00126867" w:rsidRDefault="00126867" w:rsidP="00112285">
      <w:pPr>
        <w:shd w:val="clear" w:color="auto" w:fill="FFFFFF"/>
        <w:spacing w:after="0" w:line="240" w:lineRule="auto"/>
        <w:jc w:val="center"/>
        <w:rPr>
          <w:b/>
          <w:color w:val="C00000"/>
          <w:sz w:val="28"/>
          <w:szCs w:val="24"/>
          <w:u w:val="single"/>
          <w:shd w:val="clear" w:color="auto" w:fill="FFFFFF"/>
        </w:rPr>
      </w:pPr>
      <w:bookmarkStart w:id="0" w:name="_GoBack"/>
      <w:bookmarkEnd w:id="0"/>
    </w:p>
    <w:p w:rsidR="004E4968" w:rsidRDefault="004E4968" w:rsidP="00112285">
      <w:pPr>
        <w:shd w:val="clear" w:color="auto" w:fill="FFFFFF"/>
        <w:spacing w:after="0" w:line="240" w:lineRule="auto"/>
        <w:jc w:val="center"/>
        <w:rPr>
          <w:b/>
          <w:color w:val="C00000"/>
          <w:sz w:val="28"/>
          <w:szCs w:val="24"/>
          <w:u w:val="single"/>
          <w:shd w:val="clear" w:color="auto" w:fill="FFFFFF"/>
        </w:rPr>
      </w:pPr>
    </w:p>
    <w:p w:rsidR="00112285" w:rsidRDefault="00112285" w:rsidP="00112285">
      <w:pPr>
        <w:shd w:val="clear" w:color="auto" w:fill="FFFFFF"/>
        <w:spacing w:after="0" w:line="240" w:lineRule="auto"/>
        <w:jc w:val="center"/>
        <w:rPr>
          <w:b/>
          <w:color w:val="C00000"/>
          <w:sz w:val="28"/>
          <w:szCs w:val="24"/>
          <w:u w:val="single"/>
          <w:shd w:val="clear" w:color="auto" w:fill="FFFFFF"/>
        </w:rPr>
      </w:pPr>
      <w:r w:rsidRPr="00112285">
        <w:rPr>
          <w:b/>
          <w:color w:val="C00000"/>
          <w:sz w:val="28"/>
          <w:szCs w:val="24"/>
          <w:u w:val="single"/>
          <w:shd w:val="clear" w:color="auto" w:fill="FFFFFF"/>
        </w:rPr>
        <w:t>Les modifications du capital social : Augmentation du capital</w:t>
      </w:r>
    </w:p>
    <w:p w:rsidR="00126867" w:rsidRPr="00112285" w:rsidRDefault="00126867" w:rsidP="00112285">
      <w:pPr>
        <w:shd w:val="clear" w:color="auto" w:fill="FFFFFF"/>
        <w:spacing w:after="0" w:line="240" w:lineRule="auto"/>
        <w:jc w:val="center"/>
        <w:rPr>
          <w:rFonts w:eastAsia="Times New Roman"/>
          <w:b/>
          <w:color w:val="C00000"/>
          <w:sz w:val="28"/>
          <w:szCs w:val="24"/>
          <w:u w:val="single"/>
          <w:lang w:eastAsia="fr-FR"/>
        </w:rPr>
      </w:pPr>
    </w:p>
    <w:p w:rsidR="00112285" w:rsidRPr="00112285" w:rsidRDefault="00112285" w:rsidP="00112285">
      <w:pPr>
        <w:shd w:val="clear" w:color="auto" w:fill="FFFFFF"/>
        <w:spacing w:after="0" w:line="240" w:lineRule="auto"/>
        <w:rPr>
          <w:rFonts w:eastAsia="Times New Roman"/>
          <w:color w:val="000000"/>
          <w:szCs w:val="24"/>
          <w:lang w:eastAsia="fr-FR"/>
        </w:rPr>
      </w:pPr>
    </w:p>
    <w:p w:rsidR="00112285" w:rsidRPr="00112285" w:rsidRDefault="00112285" w:rsidP="00112285">
      <w:pPr>
        <w:shd w:val="clear" w:color="auto" w:fill="FFFFFF"/>
        <w:spacing w:after="0"/>
        <w:jc w:val="both"/>
        <w:rPr>
          <w:rFonts w:eastAsia="Times New Roman"/>
          <w:color w:val="000000"/>
          <w:szCs w:val="24"/>
          <w:lang w:eastAsia="fr-FR"/>
        </w:rPr>
      </w:pPr>
      <w:r w:rsidRPr="00112285">
        <w:rPr>
          <w:rFonts w:eastAsia="Times New Roman"/>
          <w:color w:val="000000"/>
          <w:szCs w:val="24"/>
          <w:lang w:eastAsia="fr-FR"/>
        </w:rPr>
        <w:t> Le capital social est augmenté soit par émission d’actions nouvelles, soit par majoration du nominal des titres existants.</w:t>
      </w:r>
    </w:p>
    <w:p w:rsidR="00112285" w:rsidRPr="00112285" w:rsidRDefault="00112285" w:rsidP="00112285">
      <w:pPr>
        <w:shd w:val="clear" w:color="auto" w:fill="FFFFFF"/>
        <w:spacing w:after="0"/>
        <w:jc w:val="both"/>
        <w:rPr>
          <w:rFonts w:eastAsia="Times New Roman"/>
          <w:color w:val="000000"/>
          <w:szCs w:val="24"/>
          <w:lang w:eastAsia="fr-FR"/>
        </w:rPr>
      </w:pPr>
      <w:r w:rsidRPr="00112285">
        <w:rPr>
          <w:rFonts w:eastAsia="Times New Roman"/>
          <w:color w:val="000000"/>
          <w:szCs w:val="24"/>
          <w:lang w:eastAsia="fr-FR"/>
        </w:rPr>
        <w:t> </w:t>
      </w:r>
    </w:p>
    <w:p w:rsidR="00112285" w:rsidRPr="00112285" w:rsidRDefault="00112285" w:rsidP="00112285">
      <w:pPr>
        <w:pStyle w:val="Paragraphedeliste"/>
        <w:numPr>
          <w:ilvl w:val="0"/>
          <w:numId w:val="2"/>
        </w:numPr>
        <w:shd w:val="clear" w:color="auto" w:fill="FFFFFF"/>
        <w:spacing w:after="0"/>
        <w:jc w:val="both"/>
        <w:rPr>
          <w:rFonts w:eastAsia="Times New Roman"/>
          <w:color w:val="1F497D" w:themeColor="text2"/>
          <w:szCs w:val="24"/>
          <w:lang w:eastAsia="fr-FR"/>
        </w:rPr>
      </w:pPr>
      <w:r w:rsidRPr="00112285">
        <w:rPr>
          <w:rFonts w:eastAsia="Times New Roman"/>
          <w:b/>
          <w:bCs/>
          <w:color w:val="1F497D" w:themeColor="text2"/>
          <w:szCs w:val="24"/>
          <w:lang w:eastAsia="fr-FR"/>
        </w:rPr>
        <w:t>Emission d’actions nouvelles.</w:t>
      </w:r>
    </w:p>
    <w:p w:rsidR="00112285" w:rsidRPr="00112285" w:rsidRDefault="00112285" w:rsidP="00112285">
      <w:pPr>
        <w:shd w:val="clear" w:color="auto" w:fill="FFFFFF"/>
        <w:spacing w:after="0"/>
        <w:jc w:val="both"/>
        <w:rPr>
          <w:rFonts w:eastAsia="Times New Roman"/>
          <w:color w:val="000000"/>
          <w:szCs w:val="24"/>
          <w:lang w:eastAsia="fr-FR"/>
        </w:rPr>
      </w:pPr>
      <w:r w:rsidRPr="00112285">
        <w:rPr>
          <w:rFonts w:eastAsia="Times New Roman"/>
          <w:color w:val="000000"/>
          <w:szCs w:val="24"/>
          <w:lang w:eastAsia="fr-FR"/>
        </w:rPr>
        <w:t> </w:t>
      </w:r>
    </w:p>
    <w:p w:rsidR="00112285" w:rsidRPr="00112285" w:rsidRDefault="00112285" w:rsidP="00112285">
      <w:pPr>
        <w:shd w:val="clear" w:color="auto" w:fill="FFFFFF"/>
        <w:spacing w:after="0"/>
        <w:jc w:val="both"/>
        <w:rPr>
          <w:rFonts w:eastAsia="Times New Roman"/>
          <w:color w:val="000000"/>
          <w:szCs w:val="24"/>
          <w:lang w:eastAsia="fr-FR"/>
        </w:rPr>
      </w:pPr>
      <w:r w:rsidRPr="00112285">
        <w:rPr>
          <w:rFonts w:eastAsia="Times New Roman"/>
          <w:color w:val="000000"/>
          <w:szCs w:val="24"/>
          <w:lang w:eastAsia="fr-FR"/>
        </w:rPr>
        <w:t>L’émission d’actions nouvelles peut résulter </w:t>
      </w:r>
      <w:r w:rsidRPr="00112285">
        <w:rPr>
          <w:rFonts w:eastAsia="Times New Roman"/>
          <w:b/>
          <w:bCs/>
          <w:color w:val="000000"/>
          <w:szCs w:val="24"/>
          <w:lang w:eastAsia="fr-FR"/>
        </w:rPr>
        <w:t>:</w:t>
      </w:r>
    </w:p>
    <w:p w:rsidR="00112285" w:rsidRPr="00112285" w:rsidRDefault="00112285" w:rsidP="00112285">
      <w:pPr>
        <w:pStyle w:val="Paragraphedeliste"/>
        <w:numPr>
          <w:ilvl w:val="0"/>
          <w:numId w:val="1"/>
        </w:numPr>
        <w:shd w:val="clear" w:color="auto" w:fill="FFFFFF"/>
        <w:spacing w:before="100" w:beforeAutospacing="1" w:after="100" w:afterAutospacing="1"/>
        <w:jc w:val="both"/>
        <w:rPr>
          <w:rFonts w:eastAsia="Times New Roman"/>
          <w:color w:val="000000"/>
          <w:szCs w:val="24"/>
          <w:lang w:eastAsia="fr-FR"/>
        </w:rPr>
      </w:pPr>
      <w:r w:rsidRPr="00112285">
        <w:rPr>
          <w:rFonts w:eastAsia="Times New Roman"/>
          <w:color w:val="000000"/>
          <w:szCs w:val="24"/>
          <w:lang w:eastAsia="fr-FR"/>
        </w:rPr>
        <w:t>D’apports en nature ou en numéraire, ces derniers peuvent être libérés par un versement en espèces ou par compensation avec des créances liquides et exigibles sur la société.</w:t>
      </w:r>
    </w:p>
    <w:p w:rsidR="00112285" w:rsidRPr="00112285" w:rsidRDefault="00112285" w:rsidP="00112285">
      <w:pPr>
        <w:pStyle w:val="Paragraphedeliste"/>
        <w:numPr>
          <w:ilvl w:val="0"/>
          <w:numId w:val="1"/>
        </w:numPr>
        <w:shd w:val="clear" w:color="auto" w:fill="FFFFFF"/>
        <w:spacing w:before="100" w:beforeAutospacing="1" w:after="100" w:afterAutospacing="1"/>
        <w:jc w:val="both"/>
        <w:rPr>
          <w:rFonts w:eastAsia="Times New Roman"/>
          <w:color w:val="000000"/>
          <w:szCs w:val="24"/>
          <w:lang w:eastAsia="fr-FR"/>
        </w:rPr>
      </w:pPr>
      <w:r w:rsidRPr="00112285">
        <w:rPr>
          <w:rFonts w:eastAsia="Times New Roman"/>
          <w:color w:val="000000"/>
          <w:szCs w:val="24"/>
          <w:lang w:eastAsia="fr-FR"/>
        </w:rPr>
        <w:t>D’incorporation de réserves, bénéfices ou de primes d’émission.</w:t>
      </w:r>
    </w:p>
    <w:p w:rsidR="00112285" w:rsidRPr="00112285" w:rsidRDefault="00112285" w:rsidP="00112285">
      <w:pPr>
        <w:pStyle w:val="Paragraphedeliste"/>
        <w:numPr>
          <w:ilvl w:val="0"/>
          <w:numId w:val="1"/>
        </w:numPr>
        <w:shd w:val="clear" w:color="auto" w:fill="FFFFFF"/>
        <w:spacing w:before="100" w:beforeAutospacing="1" w:after="100" w:afterAutospacing="1"/>
        <w:jc w:val="both"/>
        <w:rPr>
          <w:rFonts w:eastAsia="Times New Roman"/>
          <w:color w:val="000000"/>
          <w:szCs w:val="24"/>
          <w:lang w:eastAsia="fr-FR"/>
        </w:rPr>
      </w:pPr>
      <w:r w:rsidRPr="00112285">
        <w:rPr>
          <w:rFonts w:eastAsia="Times New Roman"/>
          <w:color w:val="000000"/>
          <w:szCs w:val="24"/>
          <w:lang w:eastAsia="fr-FR"/>
        </w:rPr>
        <w:t>De la conversion ou du remboursement d’obligations en actions. </w:t>
      </w:r>
    </w:p>
    <w:p w:rsidR="00112285" w:rsidRPr="00112285" w:rsidRDefault="00112285" w:rsidP="00112285">
      <w:pPr>
        <w:pStyle w:val="Paragraphedeliste"/>
        <w:shd w:val="clear" w:color="auto" w:fill="FFFFFF"/>
        <w:spacing w:before="100" w:beforeAutospacing="1" w:after="100" w:afterAutospacing="1"/>
        <w:ind w:left="2192"/>
        <w:jc w:val="both"/>
        <w:rPr>
          <w:rFonts w:eastAsia="Times New Roman"/>
          <w:color w:val="000000"/>
          <w:szCs w:val="24"/>
          <w:lang w:eastAsia="fr-FR"/>
        </w:rPr>
      </w:pPr>
    </w:p>
    <w:p w:rsidR="00112285" w:rsidRPr="00112285" w:rsidRDefault="00112285" w:rsidP="00112285">
      <w:pPr>
        <w:pStyle w:val="Paragraphedeliste"/>
        <w:numPr>
          <w:ilvl w:val="0"/>
          <w:numId w:val="2"/>
        </w:numPr>
        <w:shd w:val="clear" w:color="auto" w:fill="FFFFFF"/>
        <w:spacing w:after="0"/>
        <w:jc w:val="both"/>
        <w:rPr>
          <w:rFonts w:eastAsia="Times New Roman"/>
          <w:color w:val="1F497D" w:themeColor="text2"/>
          <w:szCs w:val="24"/>
          <w:lang w:eastAsia="fr-FR"/>
        </w:rPr>
      </w:pPr>
      <w:r w:rsidRPr="00112285">
        <w:rPr>
          <w:rFonts w:eastAsia="Times New Roman"/>
          <w:b/>
          <w:bCs/>
          <w:color w:val="1F497D" w:themeColor="text2"/>
          <w:szCs w:val="24"/>
          <w:lang w:eastAsia="fr-FR"/>
        </w:rPr>
        <w:t>Elévation de la valeur nominale des actions.</w:t>
      </w:r>
    </w:p>
    <w:p w:rsidR="00112285" w:rsidRPr="00112285" w:rsidRDefault="00112285" w:rsidP="00112285">
      <w:pPr>
        <w:shd w:val="clear" w:color="auto" w:fill="FFFFFF"/>
        <w:spacing w:after="0"/>
        <w:jc w:val="both"/>
        <w:rPr>
          <w:rFonts w:eastAsia="Times New Roman"/>
          <w:color w:val="000000"/>
          <w:szCs w:val="24"/>
          <w:lang w:eastAsia="fr-FR"/>
        </w:rPr>
      </w:pPr>
      <w:r w:rsidRPr="00112285">
        <w:rPr>
          <w:rFonts w:eastAsia="Times New Roman"/>
          <w:b/>
          <w:bCs/>
          <w:color w:val="000000"/>
          <w:szCs w:val="24"/>
          <w:lang w:eastAsia="fr-FR"/>
        </w:rPr>
        <w:t> </w:t>
      </w:r>
    </w:p>
    <w:p w:rsidR="00112285" w:rsidRPr="00112285" w:rsidRDefault="00112285" w:rsidP="00112285">
      <w:pPr>
        <w:shd w:val="clear" w:color="auto" w:fill="FFFFFF"/>
        <w:spacing w:after="0"/>
        <w:jc w:val="both"/>
        <w:rPr>
          <w:rFonts w:eastAsia="Times New Roman"/>
          <w:color w:val="000000"/>
          <w:szCs w:val="24"/>
          <w:lang w:eastAsia="fr-FR"/>
        </w:rPr>
      </w:pPr>
      <w:r w:rsidRPr="00112285">
        <w:rPr>
          <w:rFonts w:eastAsia="Times New Roman"/>
          <w:color w:val="000000"/>
          <w:szCs w:val="24"/>
          <w:lang w:eastAsia="fr-FR"/>
        </w:rPr>
        <w:t>Cette opération ne peut être réalisée qu’avec l’accord unanime des intéressés puisqu’ elle a pour effet d’augmenter leurs engagements.</w:t>
      </w:r>
    </w:p>
    <w:p w:rsidR="00112285" w:rsidRPr="00112285" w:rsidRDefault="00112285" w:rsidP="00112285">
      <w:pPr>
        <w:shd w:val="clear" w:color="auto" w:fill="FFFFFF"/>
        <w:spacing w:after="0"/>
        <w:jc w:val="both"/>
        <w:rPr>
          <w:rFonts w:eastAsia="Times New Roman"/>
          <w:color w:val="000000"/>
          <w:szCs w:val="24"/>
          <w:lang w:eastAsia="fr-FR"/>
        </w:rPr>
      </w:pPr>
      <w:r w:rsidRPr="00112285">
        <w:rPr>
          <w:rFonts w:eastAsia="Times New Roman"/>
          <w:color w:val="000000"/>
          <w:szCs w:val="24"/>
          <w:lang w:eastAsia="fr-FR"/>
        </w:rPr>
        <w:t> </w:t>
      </w:r>
    </w:p>
    <w:p w:rsidR="00112285" w:rsidRPr="00112285" w:rsidRDefault="00112285" w:rsidP="009436EF">
      <w:pPr>
        <w:shd w:val="clear" w:color="auto" w:fill="FFFFFF"/>
        <w:spacing w:after="0"/>
        <w:jc w:val="center"/>
        <w:rPr>
          <w:rFonts w:eastAsia="Times New Roman"/>
          <w:sz w:val="28"/>
          <w:szCs w:val="24"/>
          <w:u w:val="single"/>
          <w:lang w:eastAsia="fr-FR"/>
        </w:rPr>
      </w:pPr>
      <w:r w:rsidRPr="00112285">
        <w:rPr>
          <w:rFonts w:eastAsia="Times New Roman"/>
          <w:b/>
          <w:bCs/>
          <w:sz w:val="28"/>
          <w:szCs w:val="24"/>
          <w:u w:val="single"/>
          <w:lang w:eastAsia="fr-FR"/>
        </w:rPr>
        <w:t>Décision d’augmentation du capital.</w:t>
      </w:r>
    </w:p>
    <w:p w:rsidR="00112285" w:rsidRPr="00112285" w:rsidRDefault="00112285" w:rsidP="00112285">
      <w:pPr>
        <w:shd w:val="clear" w:color="auto" w:fill="FFFFFF"/>
        <w:spacing w:after="0"/>
        <w:jc w:val="both"/>
        <w:rPr>
          <w:rFonts w:eastAsia="Times New Roman"/>
          <w:color w:val="000000"/>
          <w:szCs w:val="24"/>
          <w:lang w:eastAsia="fr-FR"/>
        </w:rPr>
      </w:pPr>
      <w:r w:rsidRPr="00112285">
        <w:rPr>
          <w:rFonts w:eastAsia="Times New Roman"/>
          <w:b/>
          <w:bCs/>
          <w:color w:val="000000"/>
          <w:szCs w:val="24"/>
          <w:lang w:eastAsia="fr-FR"/>
        </w:rPr>
        <w:t> </w:t>
      </w:r>
    </w:p>
    <w:p w:rsidR="00112285" w:rsidRPr="00112285" w:rsidRDefault="00112285" w:rsidP="00112285">
      <w:pPr>
        <w:pStyle w:val="Paragraphedeliste"/>
        <w:numPr>
          <w:ilvl w:val="0"/>
          <w:numId w:val="2"/>
        </w:numPr>
        <w:shd w:val="clear" w:color="auto" w:fill="FFFFFF"/>
        <w:spacing w:after="0"/>
        <w:jc w:val="both"/>
        <w:rPr>
          <w:rFonts w:eastAsia="Times New Roman"/>
          <w:color w:val="1F497D" w:themeColor="text2"/>
          <w:szCs w:val="24"/>
          <w:lang w:eastAsia="fr-FR"/>
        </w:rPr>
      </w:pPr>
      <w:r w:rsidRPr="00112285">
        <w:rPr>
          <w:rFonts w:eastAsia="Times New Roman"/>
          <w:b/>
          <w:bCs/>
          <w:color w:val="1F497D" w:themeColor="text2"/>
          <w:szCs w:val="24"/>
          <w:lang w:eastAsia="fr-FR"/>
        </w:rPr>
        <w:t>Organe compétent.</w:t>
      </w:r>
    </w:p>
    <w:p w:rsidR="00112285" w:rsidRPr="00112285" w:rsidRDefault="00112285" w:rsidP="00112285">
      <w:pPr>
        <w:shd w:val="clear" w:color="auto" w:fill="FFFFFF"/>
        <w:spacing w:after="0"/>
        <w:jc w:val="both"/>
        <w:rPr>
          <w:rFonts w:eastAsia="Times New Roman"/>
          <w:color w:val="000000"/>
          <w:szCs w:val="24"/>
          <w:lang w:eastAsia="fr-FR"/>
        </w:rPr>
      </w:pPr>
      <w:r w:rsidRPr="00112285">
        <w:rPr>
          <w:rFonts w:eastAsia="Times New Roman"/>
          <w:color w:val="000000"/>
          <w:szCs w:val="24"/>
          <w:lang w:eastAsia="fr-FR"/>
        </w:rPr>
        <w:t> </w:t>
      </w:r>
    </w:p>
    <w:p w:rsidR="00112285" w:rsidRPr="00112285" w:rsidRDefault="00112285" w:rsidP="00112285">
      <w:pPr>
        <w:shd w:val="clear" w:color="auto" w:fill="FFFFFF"/>
        <w:spacing w:after="0"/>
        <w:jc w:val="both"/>
        <w:rPr>
          <w:rFonts w:eastAsia="Times New Roman"/>
          <w:color w:val="000000"/>
          <w:szCs w:val="24"/>
          <w:lang w:eastAsia="fr-FR"/>
        </w:rPr>
      </w:pPr>
      <w:r w:rsidRPr="00112285">
        <w:rPr>
          <w:rFonts w:eastAsia="Times New Roman"/>
          <w:color w:val="000000"/>
          <w:szCs w:val="24"/>
          <w:lang w:eastAsia="fr-FR"/>
        </w:rPr>
        <w:t>L’unique organe compétent pour décider une augmentation de capital est l’assemblée générale extraordinaire. Cette dernière peut déléguer cette compétence au conseil d’administration ou au directoire le pouvoir d’en fixer les modalités.</w:t>
      </w:r>
    </w:p>
    <w:p w:rsidR="00112285" w:rsidRPr="00112285" w:rsidRDefault="00112285" w:rsidP="00112285">
      <w:pPr>
        <w:shd w:val="clear" w:color="auto" w:fill="FFFFFF"/>
        <w:spacing w:after="0"/>
        <w:jc w:val="both"/>
        <w:rPr>
          <w:rFonts w:eastAsia="Times New Roman"/>
          <w:color w:val="000000"/>
          <w:szCs w:val="24"/>
          <w:lang w:eastAsia="fr-FR"/>
        </w:rPr>
      </w:pPr>
      <w:r w:rsidRPr="00112285">
        <w:rPr>
          <w:rFonts w:eastAsia="Times New Roman"/>
          <w:color w:val="000000"/>
          <w:szCs w:val="24"/>
          <w:lang w:eastAsia="fr-FR"/>
        </w:rPr>
        <w:t> </w:t>
      </w:r>
    </w:p>
    <w:p w:rsidR="00112285" w:rsidRPr="00112285" w:rsidRDefault="00112285" w:rsidP="00112285">
      <w:pPr>
        <w:pStyle w:val="Paragraphedeliste"/>
        <w:numPr>
          <w:ilvl w:val="0"/>
          <w:numId w:val="2"/>
        </w:numPr>
        <w:shd w:val="clear" w:color="auto" w:fill="FFFFFF"/>
        <w:spacing w:after="0"/>
        <w:jc w:val="both"/>
        <w:rPr>
          <w:rFonts w:eastAsia="Times New Roman"/>
          <w:color w:val="1F497D" w:themeColor="text2"/>
          <w:szCs w:val="24"/>
          <w:lang w:eastAsia="fr-FR"/>
        </w:rPr>
      </w:pPr>
      <w:r w:rsidRPr="00112285">
        <w:rPr>
          <w:rFonts w:eastAsia="Times New Roman"/>
          <w:b/>
          <w:bCs/>
          <w:color w:val="1F497D" w:themeColor="text2"/>
          <w:szCs w:val="24"/>
          <w:lang w:eastAsia="fr-FR"/>
        </w:rPr>
        <w:t>Délais</w:t>
      </w:r>
    </w:p>
    <w:p w:rsidR="00112285" w:rsidRPr="00112285" w:rsidRDefault="00112285" w:rsidP="00112285">
      <w:pPr>
        <w:shd w:val="clear" w:color="auto" w:fill="FFFFFF"/>
        <w:spacing w:after="0"/>
        <w:jc w:val="both"/>
        <w:rPr>
          <w:rFonts w:eastAsia="Times New Roman"/>
          <w:color w:val="000000"/>
          <w:szCs w:val="24"/>
          <w:lang w:eastAsia="fr-FR"/>
        </w:rPr>
      </w:pPr>
      <w:r w:rsidRPr="00112285">
        <w:rPr>
          <w:rFonts w:eastAsia="Times New Roman"/>
          <w:color w:val="000000"/>
          <w:szCs w:val="24"/>
          <w:lang w:eastAsia="fr-FR"/>
        </w:rPr>
        <w:t> </w:t>
      </w:r>
    </w:p>
    <w:p w:rsidR="00112285" w:rsidRPr="00112285" w:rsidRDefault="00112285" w:rsidP="00112285">
      <w:pPr>
        <w:shd w:val="clear" w:color="auto" w:fill="FFFFFF"/>
        <w:spacing w:after="0"/>
        <w:jc w:val="both"/>
        <w:rPr>
          <w:rFonts w:eastAsia="Times New Roman"/>
          <w:color w:val="000000"/>
          <w:szCs w:val="24"/>
          <w:lang w:eastAsia="fr-FR"/>
        </w:rPr>
      </w:pPr>
      <w:r w:rsidRPr="00112285">
        <w:rPr>
          <w:rFonts w:eastAsia="Times New Roman"/>
          <w:color w:val="000000"/>
          <w:szCs w:val="24"/>
          <w:lang w:eastAsia="fr-FR"/>
        </w:rPr>
        <w:t>L’augmentation de capital doit être réalisée dans le délai de trois ans à compter de la décision de l’assemblée.</w:t>
      </w:r>
    </w:p>
    <w:p w:rsidR="00112285" w:rsidRPr="00112285" w:rsidRDefault="00112285" w:rsidP="00112285">
      <w:pPr>
        <w:shd w:val="clear" w:color="auto" w:fill="FFFFFF"/>
        <w:spacing w:after="0"/>
        <w:jc w:val="both"/>
        <w:rPr>
          <w:rFonts w:eastAsia="Times New Roman"/>
          <w:color w:val="000000"/>
          <w:szCs w:val="24"/>
          <w:lang w:eastAsia="fr-FR"/>
        </w:rPr>
      </w:pPr>
      <w:r w:rsidRPr="00112285">
        <w:rPr>
          <w:rFonts w:eastAsia="Times New Roman"/>
          <w:color w:val="000000"/>
          <w:szCs w:val="24"/>
          <w:lang w:eastAsia="fr-FR"/>
        </w:rPr>
        <w:t> </w:t>
      </w:r>
    </w:p>
    <w:p w:rsidR="00112285" w:rsidRPr="00112285" w:rsidRDefault="00112285" w:rsidP="00112285">
      <w:pPr>
        <w:pStyle w:val="Paragraphedeliste"/>
        <w:numPr>
          <w:ilvl w:val="0"/>
          <w:numId w:val="2"/>
        </w:numPr>
        <w:shd w:val="clear" w:color="auto" w:fill="FFFFFF"/>
        <w:spacing w:after="0"/>
        <w:jc w:val="both"/>
        <w:rPr>
          <w:rFonts w:eastAsia="Times New Roman"/>
          <w:color w:val="1F497D" w:themeColor="text2"/>
          <w:szCs w:val="24"/>
          <w:lang w:eastAsia="fr-FR"/>
        </w:rPr>
      </w:pPr>
      <w:r w:rsidRPr="00112285">
        <w:rPr>
          <w:rFonts w:eastAsia="Times New Roman"/>
          <w:b/>
          <w:bCs/>
          <w:color w:val="1F497D" w:themeColor="text2"/>
          <w:szCs w:val="24"/>
          <w:lang w:eastAsia="fr-FR"/>
        </w:rPr>
        <w:t>Rapport du conseil d’administration ou du directoire.</w:t>
      </w:r>
    </w:p>
    <w:p w:rsidR="00112285" w:rsidRPr="00112285" w:rsidRDefault="00112285" w:rsidP="00112285">
      <w:pPr>
        <w:shd w:val="clear" w:color="auto" w:fill="FFFFFF"/>
        <w:spacing w:after="0"/>
        <w:jc w:val="both"/>
        <w:rPr>
          <w:rFonts w:eastAsia="Times New Roman"/>
          <w:color w:val="000000"/>
          <w:szCs w:val="24"/>
          <w:lang w:eastAsia="fr-FR"/>
        </w:rPr>
      </w:pPr>
      <w:r w:rsidRPr="00112285">
        <w:rPr>
          <w:rFonts w:eastAsia="Times New Roman"/>
          <w:b/>
          <w:bCs/>
          <w:color w:val="000000"/>
          <w:szCs w:val="24"/>
          <w:lang w:eastAsia="fr-FR"/>
        </w:rPr>
        <w:t> </w:t>
      </w:r>
    </w:p>
    <w:p w:rsidR="00112285" w:rsidRPr="00112285" w:rsidRDefault="00112285" w:rsidP="00112285">
      <w:pPr>
        <w:shd w:val="clear" w:color="auto" w:fill="FFFFFF"/>
        <w:spacing w:after="0"/>
        <w:jc w:val="both"/>
        <w:rPr>
          <w:rFonts w:eastAsia="Times New Roman"/>
          <w:color w:val="000000"/>
          <w:szCs w:val="24"/>
          <w:lang w:eastAsia="fr-FR"/>
        </w:rPr>
      </w:pPr>
      <w:r w:rsidRPr="00112285">
        <w:rPr>
          <w:rFonts w:eastAsia="Times New Roman"/>
          <w:color w:val="000000"/>
          <w:szCs w:val="24"/>
          <w:lang w:eastAsia="fr-FR"/>
        </w:rPr>
        <w:t>Le conseil d’administration ou le directoire doit présenter à l’assemblée un rapport relatant les motifs de l’augmentation du capital.</w:t>
      </w:r>
    </w:p>
    <w:p w:rsidR="00112285" w:rsidRPr="00112285" w:rsidRDefault="00112285" w:rsidP="00112285">
      <w:pPr>
        <w:shd w:val="clear" w:color="auto" w:fill="FFFFFF"/>
        <w:spacing w:after="0"/>
        <w:jc w:val="both"/>
        <w:rPr>
          <w:rFonts w:eastAsia="Times New Roman"/>
          <w:color w:val="000000"/>
          <w:szCs w:val="24"/>
          <w:lang w:eastAsia="fr-FR"/>
        </w:rPr>
      </w:pPr>
      <w:r w:rsidRPr="00112285">
        <w:rPr>
          <w:rFonts w:eastAsia="Times New Roman"/>
          <w:color w:val="000000"/>
          <w:szCs w:val="24"/>
          <w:lang w:eastAsia="fr-FR"/>
        </w:rPr>
        <w:t> </w:t>
      </w:r>
    </w:p>
    <w:p w:rsidR="00112285" w:rsidRPr="00112285" w:rsidRDefault="00112285" w:rsidP="00112285">
      <w:pPr>
        <w:pStyle w:val="Paragraphedeliste"/>
        <w:numPr>
          <w:ilvl w:val="0"/>
          <w:numId w:val="2"/>
        </w:numPr>
        <w:shd w:val="clear" w:color="auto" w:fill="FFFFFF"/>
        <w:spacing w:after="0"/>
        <w:jc w:val="both"/>
        <w:rPr>
          <w:rFonts w:eastAsia="Times New Roman"/>
          <w:color w:val="1F497D" w:themeColor="text2"/>
          <w:szCs w:val="24"/>
          <w:lang w:eastAsia="fr-FR"/>
        </w:rPr>
      </w:pPr>
      <w:r w:rsidRPr="00112285">
        <w:rPr>
          <w:rFonts w:eastAsia="Times New Roman"/>
          <w:b/>
          <w:bCs/>
          <w:color w:val="1F497D" w:themeColor="text2"/>
          <w:szCs w:val="24"/>
          <w:lang w:eastAsia="fr-FR"/>
        </w:rPr>
        <w:t>Rapport spécial du commissaire aux comptes.</w:t>
      </w:r>
    </w:p>
    <w:p w:rsidR="00112285" w:rsidRPr="00112285" w:rsidRDefault="00112285" w:rsidP="00112285">
      <w:pPr>
        <w:shd w:val="clear" w:color="auto" w:fill="FFFFFF"/>
        <w:spacing w:after="0"/>
        <w:jc w:val="both"/>
        <w:rPr>
          <w:rFonts w:eastAsia="Times New Roman"/>
          <w:color w:val="000000"/>
          <w:szCs w:val="24"/>
          <w:lang w:eastAsia="fr-FR"/>
        </w:rPr>
      </w:pPr>
      <w:r w:rsidRPr="00112285">
        <w:rPr>
          <w:rFonts w:eastAsia="Times New Roman"/>
          <w:b/>
          <w:bCs/>
          <w:color w:val="000000"/>
          <w:szCs w:val="24"/>
          <w:lang w:eastAsia="fr-FR"/>
        </w:rPr>
        <w:t> </w:t>
      </w:r>
    </w:p>
    <w:p w:rsidR="00112285" w:rsidRPr="00112285" w:rsidRDefault="00112285" w:rsidP="00112285">
      <w:pPr>
        <w:shd w:val="clear" w:color="auto" w:fill="FFFFFF"/>
        <w:spacing w:after="0"/>
        <w:jc w:val="both"/>
        <w:rPr>
          <w:rFonts w:eastAsia="Times New Roman"/>
          <w:color w:val="000000"/>
          <w:szCs w:val="24"/>
          <w:lang w:eastAsia="fr-FR"/>
        </w:rPr>
      </w:pPr>
      <w:r w:rsidRPr="00112285">
        <w:rPr>
          <w:rFonts w:eastAsia="Times New Roman"/>
          <w:color w:val="000000"/>
          <w:szCs w:val="24"/>
          <w:lang w:eastAsia="fr-FR"/>
        </w:rPr>
        <w:t>Le CAC doit remettre un rapport à l’assemblée appelée à statuer sur l’augmentation et en cas de suppression du droit préférentiel de souscription, le CAC doit présenter un rapport spécial dans ce sens.</w:t>
      </w:r>
    </w:p>
    <w:p w:rsidR="00112285" w:rsidRPr="00112285" w:rsidRDefault="00112285" w:rsidP="00112285">
      <w:pPr>
        <w:shd w:val="clear" w:color="auto" w:fill="FFFFFF"/>
        <w:spacing w:after="0"/>
        <w:jc w:val="both"/>
        <w:rPr>
          <w:rFonts w:eastAsia="Times New Roman"/>
          <w:color w:val="000000"/>
          <w:szCs w:val="24"/>
          <w:lang w:eastAsia="fr-FR"/>
        </w:rPr>
      </w:pPr>
      <w:r w:rsidRPr="00112285">
        <w:rPr>
          <w:rFonts w:eastAsia="Times New Roman"/>
          <w:color w:val="000000"/>
          <w:szCs w:val="24"/>
          <w:lang w:eastAsia="fr-FR"/>
        </w:rPr>
        <w:t> </w:t>
      </w:r>
    </w:p>
    <w:p w:rsidR="00112285" w:rsidRPr="00112285" w:rsidRDefault="00112285" w:rsidP="00112285">
      <w:pPr>
        <w:pStyle w:val="Paragraphedeliste"/>
        <w:numPr>
          <w:ilvl w:val="0"/>
          <w:numId w:val="2"/>
        </w:numPr>
        <w:shd w:val="clear" w:color="auto" w:fill="FFFFFF"/>
        <w:spacing w:after="0"/>
        <w:jc w:val="both"/>
        <w:rPr>
          <w:rFonts w:eastAsia="Times New Roman"/>
          <w:color w:val="1F497D" w:themeColor="text2"/>
          <w:szCs w:val="24"/>
          <w:lang w:eastAsia="fr-FR"/>
        </w:rPr>
      </w:pPr>
      <w:r w:rsidRPr="00112285">
        <w:rPr>
          <w:rFonts w:eastAsia="Times New Roman"/>
          <w:b/>
          <w:bCs/>
          <w:color w:val="1F497D" w:themeColor="text2"/>
          <w:szCs w:val="24"/>
          <w:lang w:eastAsia="fr-FR"/>
        </w:rPr>
        <w:lastRenderedPageBreak/>
        <w:t>Quorum et majorité.</w:t>
      </w:r>
    </w:p>
    <w:p w:rsidR="00112285" w:rsidRPr="00112285" w:rsidRDefault="00112285" w:rsidP="00112285">
      <w:pPr>
        <w:shd w:val="clear" w:color="auto" w:fill="FFFFFF"/>
        <w:spacing w:after="0"/>
        <w:jc w:val="both"/>
        <w:rPr>
          <w:rFonts w:eastAsia="Times New Roman"/>
          <w:color w:val="000000"/>
          <w:szCs w:val="24"/>
          <w:lang w:eastAsia="fr-FR"/>
        </w:rPr>
      </w:pPr>
      <w:r w:rsidRPr="00112285">
        <w:rPr>
          <w:rFonts w:eastAsia="Times New Roman"/>
          <w:b/>
          <w:bCs/>
          <w:color w:val="000000"/>
          <w:szCs w:val="24"/>
          <w:lang w:eastAsia="fr-FR"/>
        </w:rPr>
        <w:t> </w:t>
      </w:r>
    </w:p>
    <w:p w:rsidR="00112285" w:rsidRDefault="00112285" w:rsidP="00112285">
      <w:pPr>
        <w:shd w:val="clear" w:color="auto" w:fill="FFFFFF"/>
        <w:spacing w:after="0"/>
        <w:jc w:val="both"/>
        <w:rPr>
          <w:rFonts w:eastAsia="Times New Roman"/>
          <w:color w:val="000000"/>
          <w:szCs w:val="24"/>
          <w:lang w:eastAsia="fr-FR"/>
        </w:rPr>
      </w:pPr>
      <w:r w:rsidRPr="00112285">
        <w:rPr>
          <w:rFonts w:eastAsia="Times New Roman"/>
          <w:color w:val="000000"/>
          <w:szCs w:val="24"/>
          <w:lang w:eastAsia="fr-FR"/>
        </w:rPr>
        <w:t>Les conditions de quorum et de majorité sont celles prévues pour les assemblées extraordinaires.</w:t>
      </w:r>
    </w:p>
    <w:p w:rsidR="00112285" w:rsidRPr="00112285" w:rsidRDefault="00112285" w:rsidP="00112285">
      <w:pPr>
        <w:shd w:val="clear" w:color="auto" w:fill="FFFFFF"/>
        <w:spacing w:after="0"/>
        <w:jc w:val="both"/>
        <w:rPr>
          <w:rFonts w:eastAsia="Times New Roman"/>
          <w:color w:val="000000"/>
          <w:szCs w:val="24"/>
          <w:lang w:eastAsia="fr-FR"/>
        </w:rPr>
      </w:pPr>
    </w:p>
    <w:p w:rsidR="00112285" w:rsidRPr="00112285" w:rsidRDefault="00112285" w:rsidP="00112285">
      <w:pPr>
        <w:pStyle w:val="Paragraphedeliste"/>
        <w:numPr>
          <w:ilvl w:val="0"/>
          <w:numId w:val="2"/>
        </w:numPr>
        <w:shd w:val="clear" w:color="auto" w:fill="FFFFFF"/>
        <w:spacing w:after="0"/>
        <w:jc w:val="both"/>
        <w:rPr>
          <w:rFonts w:eastAsia="Times New Roman"/>
          <w:color w:val="1F497D" w:themeColor="text2"/>
          <w:szCs w:val="24"/>
          <w:lang w:eastAsia="fr-FR"/>
        </w:rPr>
      </w:pPr>
      <w:r w:rsidRPr="00112285">
        <w:rPr>
          <w:rFonts w:eastAsia="Times New Roman"/>
          <w:b/>
          <w:bCs/>
          <w:color w:val="1F497D" w:themeColor="text2"/>
          <w:szCs w:val="24"/>
          <w:lang w:eastAsia="fr-FR"/>
        </w:rPr>
        <w:t>Publicité de la décision d’augmentation du capital.</w:t>
      </w:r>
    </w:p>
    <w:p w:rsidR="00112285" w:rsidRPr="00112285" w:rsidRDefault="00112285" w:rsidP="00112285">
      <w:pPr>
        <w:shd w:val="clear" w:color="auto" w:fill="FFFFFF"/>
        <w:spacing w:after="0"/>
        <w:jc w:val="both"/>
        <w:rPr>
          <w:rFonts w:eastAsia="Times New Roman"/>
          <w:color w:val="000000"/>
          <w:szCs w:val="24"/>
          <w:lang w:eastAsia="fr-FR"/>
        </w:rPr>
      </w:pPr>
      <w:r w:rsidRPr="00112285">
        <w:rPr>
          <w:rFonts w:eastAsia="Times New Roman"/>
          <w:color w:val="000000"/>
          <w:szCs w:val="24"/>
          <w:lang w:eastAsia="fr-FR"/>
        </w:rPr>
        <w:t> </w:t>
      </w:r>
    </w:p>
    <w:p w:rsidR="00112285" w:rsidRPr="00112285" w:rsidRDefault="00112285" w:rsidP="00112285">
      <w:pPr>
        <w:shd w:val="clear" w:color="auto" w:fill="FFFFFF"/>
        <w:spacing w:after="0"/>
        <w:jc w:val="both"/>
        <w:rPr>
          <w:rFonts w:eastAsia="Times New Roman"/>
          <w:color w:val="000000"/>
          <w:szCs w:val="24"/>
          <w:lang w:eastAsia="fr-FR"/>
        </w:rPr>
      </w:pPr>
      <w:r w:rsidRPr="00112285">
        <w:rPr>
          <w:rFonts w:eastAsia="Times New Roman"/>
          <w:color w:val="000000"/>
          <w:szCs w:val="24"/>
          <w:lang w:eastAsia="fr-FR"/>
        </w:rPr>
        <w:t xml:space="preserve">Le procès-verbal de l’assemblée ayant décidé une augmentation du capital social doit être </w:t>
      </w:r>
      <w:proofErr w:type="gramStart"/>
      <w:r w:rsidRPr="00112285">
        <w:rPr>
          <w:rFonts w:eastAsia="Times New Roman"/>
          <w:color w:val="000000"/>
          <w:szCs w:val="24"/>
          <w:lang w:eastAsia="fr-FR"/>
        </w:rPr>
        <w:t>enregistré</w:t>
      </w:r>
      <w:proofErr w:type="gramEnd"/>
      <w:r w:rsidRPr="00112285">
        <w:rPr>
          <w:rFonts w:eastAsia="Times New Roman"/>
          <w:color w:val="000000"/>
          <w:szCs w:val="24"/>
          <w:lang w:eastAsia="fr-FR"/>
        </w:rPr>
        <w:t xml:space="preserve"> dans le délai de 30 jours à compter de sa date au taux de 1%  et si l’augmentation de capital est inférieur à 500.000 </w:t>
      </w:r>
      <w:proofErr w:type="spellStart"/>
      <w:r w:rsidRPr="00112285">
        <w:rPr>
          <w:rFonts w:eastAsia="Times New Roman"/>
          <w:color w:val="000000"/>
          <w:szCs w:val="24"/>
          <w:lang w:eastAsia="fr-FR"/>
        </w:rPr>
        <w:t>Dhs</w:t>
      </w:r>
      <w:proofErr w:type="spellEnd"/>
      <w:r w:rsidRPr="00112285">
        <w:rPr>
          <w:rFonts w:eastAsia="Times New Roman"/>
          <w:color w:val="000000"/>
          <w:szCs w:val="24"/>
          <w:lang w:eastAsia="fr-FR"/>
        </w:rPr>
        <w:t xml:space="preserve">, ledit procès-verbal est enregistré au droit fixe de 1000 </w:t>
      </w:r>
      <w:proofErr w:type="spellStart"/>
      <w:r w:rsidRPr="00112285">
        <w:rPr>
          <w:rFonts w:eastAsia="Times New Roman"/>
          <w:color w:val="000000"/>
          <w:szCs w:val="24"/>
          <w:lang w:eastAsia="fr-FR"/>
        </w:rPr>
        <w:t>Dhs</w:t>
      </w:r>
      <w:proofErr w:type="spellEnd"/>
      <w:r w:rsidRPr="00112285">
        <w:rPr>
          <w:rFonts w:eastAsia="Times New Roman"/>
          <w:color w:val="000000"/>
          <w:szCs w:val="24"/>
          <w:lang w:eastAsia="fr-FR"/>
        </w:rPr>
        <w:t>.</w:t>
      </w:r>
    </w:p>
    <w:p w:rsidR="00112285" w:rsidRPr="00112285" w:rsidRDefault="00112285" w:rsidP="00112285">
      <w:pPr>
        <w:shd w:val="clear" w:color="auto" w:fill="FFFFFF"/>
        <w:spacing w:after="0"/>
        <w:jc w:val="both"/>
        <w:rPr>
          <w:rFonts w:eastAsia="Times New Roman"/>
          <w:color w:val="000000"/>
          <w:szCs w:val="24"/>
          <w:lang w:eastAsia="fr-FR"/>
        </w:rPr>
      </w:pPr>
      <w:r w:rsidRPr="00112285">
        <w:rPr>
          <w:rFonts w:eastAsia="Times New Roman"/>
          <w:color w:val="000000"/>
          <w:szCs w:val="24"/>
          <w:lang w:eastAsia="fr-FR"/>
        </w:rPr>
        <w:t>Ledit PV doit être déposée au greffe et publié au registre de commerce, au journal d’annonces légales et au Bulletin officiel.</w:t>
      </w:r>
    </w:p>
    <w:p w:rsidR="00112285" w:rsidRPr="00112285" w:rsidRDefault="00112285" w:rsidP="00112285">
      <w:pPr>
        <w:shd w:val="clear" w:color="auto" w:fill="FFFFFF"/>
        <w:spacing w:after="0"/>
        <w:jc w:val="both"/>
        <w:rPr>
          <w:rFonts w:eastAsia="Times New Roman"/>
          <w:color w:val="000000"/>
          <w:szCs w:val="24"/>
          <w:lang w:eastAsia="fr-FR"/>
        </w:rPr>
      </w:pPr>
      <w:r w:rsidRPr="00112285">
        <w:rPr>
          <w:rFonts w:eastAsia="Times New Roman"/>
          <w:color w:val="000000"/>
          <w:szCs w:val="24"/>
          <w:lang w:eastAsia="fr-FR"/>
        </w:rPr>
        <w:t> </w:t>
      </w:r>
    </w:p>
    <w:p w:rsidR="00112285" w:rsidRPr="00112285" w:rsidRDefault="00112285" w:rsidP="00112285">
      <w:pPr>
        <w:shd w:val="clear" w:color="auto" w:fill="FFFFFF"/>
        <w:spacing w:after="0"/>
        <w:jc w:val="both"/>
        <w:rPr>
          <w:rFonts w:eastAsia="Times New Roman"/>
          <w:color w:val="000000"/>
          <w:szCs w:val="24"/>
          <w:lang w:eastAsia="fr-FR"/>
        </w:rPr>
      </w:pPr>
      <w:r w:rsidRPr="00112285">
        <w:rPr>
          <w:rFonts w:eastAsia="Times New Roman"/>
          <w:color w:val="000000"/>
          <w:szCs w:val="24"/>
          <w:lang w:eastAsia="fr-FR"/>
        </w:rPr>
        <w:t>A noter que la loi de finance 2017 a instituée à titre permanent, l’avantage de la réduction de l’IS au profit des sociétés qui s’introduisent en bourse. Le taux de la réduction accordé est de 50% pour les sociétés qui introduisent leurs titres en bourse par augmentation de leur capital d’au moins 20%, avec abandon du droit préférentiel de souscription destinée à être diffusée dans le public, concomitamment à l’introduction en bourse desdites sociétés.</w:t>
      </w:r>
    </w:p>
    <w:p w:rsidR="00112285" w:rsidRPr="00112285" w:rsidRDefault="00112285" w:rsidP="00112285">
      <w:pPr>
        <w:shd w:val="clear" w:color="auto" w:fill="FFFFFF"/>
        <w:spacing w:after="0" w:line="240" w:lineRule="auto"/>
        <w:jc w:val="both"/>
        <w:rPr>
          <w:rFonts w:eastAsia="Times New Roman"/>
          <w:color w:val="000000"/>
          <w:szCs w:val="24"/>
          <w:lang w:eastAsia="fr-FR"/>
        </w:rPr>
      </w:pPr>
      <w:r w:rsidRPr="00112285">
        <w:rPr>
          <w:rFonts w:eastAsia="Times New Roman"/>
          <w:b/>
          <w:bCs/>
          <w:color w:val="000000"/>
          <w:szCs w:val="24"/>
          <w:lang w:eastAsia="fr-FR"/>
        </w:rPr>
        <w:t> </w:t>
      </w:r>
    </w:p>
    <w:p w:rsidR="00672606" w:rsidRPr="00112285" w:rsidRDefault="00112285" w:rsidP="00112285">
      <w:pPr>
        <w:shd w:val="clear" w:color="auto" w:fill="FFFFFF"/>
        <w:spacing w:after="0" w:line="240" w:lineRule="auto"/>
        <w:rPr>
          <w:rFonts w:ascii="Arial" w:eastAsia="Times New Roman" w:hAnsi="Arial" w:cs="Arial"/>
          <w:color w:val="000000"/>
          <w:sz w:val="21"/>
          <w:szCs w:val="21"/>
          <w:lang w:eastAsia="fr-FR"/>
        </w:rPr>
      </w:pPr>
      <w:r w:rsidRPr="00112285">
        <w:rPr>
          <w:rFonts w:ascii="Tahoma" w:eastAsia="Times New Roman" w:hAnsi="Tahoma" w:cs="Tahoma"/>
          <w:b/>
          <w:bCs/>
          <w:color w:val="000000"/>
          <w:sz w:val="20"/>
          <w:szCs w:val="20"/>
          <w:lang w:eastAsia="fr-FR"/>
        </w:rPr>
        <w:t> </w:t>
      </w:r>
    </w:p>
    <w:sectPr w:rsidR="00672606" w:rsidRPr="00112285" w:rsidSect="00C948BF">
      <w:type w:val="continuous"/>
      <w:pgSz w:w="11900" w:h="16840" w:code="9"/>
      <w:pgMar w:top="860" w:right="403" w:bottom="280" w:left="600"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31942"/>
    <w:multiLevelType w:val="hybridMultilevel"/>
    <w:tmpl w:val="DD0E0E5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9970F6"/>
    <w:multiLevelType w:val="hybridMultilevel"/>
    <w:tmpl w:val="536E1BC6"/>
    <w:lvl w:ilvl="0" w:tplc="040C0001">
      <w:start w:val="1"/>
      <w:numFmt w:val="bullet"/>
      <w:lvlText w:val=""/>
      <w:lvlJc w:val="left"/>
      <w:pPr>
        <w:ind w:left="2192" w:hanging="360"/>
      </w:pPr>
      <w:rPr>
        <w:rFonts w:ascii="Symbol" w:hAnsi="Symbol" w:hint="default"/>
      </w:rPr>
    </w:lvl>
    <w:lvl w:ilvl="1" w:tplc="040C0003" w:tentative="1">
      <w:start w:val="1"/>
      <w:numFmt w:val="bullet"/>
      <w:lvlText w:val="o"/>
      <w:lvlJc w:val="left"/>
      <w:pPr>
        <w:ind w:left="2912" w:hanging="360"/>
      </w:pPr>
      <w:rPr>
        <w:rFonts w:ascii="Courier New" w:hAnsi="Courier New" w:cs="Courier New" w:hint="default"/>
      </w:rPr>
    </w:lvl>
    <w:lvl w:ilvl="2" w:tplc="040C0005" w:tentative="1">
      <w:start w:val="1"/>
      <w:numFmt w:val="bullet"/>
      <w:lvlText w:val=""/>
      <w:lvlJc w:val="left"/>
      <w:pPr>
        <w:ind w:left="3632" w:hanging="360"/>
      </w:pPr>
      <w:rPr>
        <w:rFonts w:ascii="Wingdings" w:hAnsi="Wingdings" w:hint="default"/>
      </w:rPr>
    </w:lvl>
    <w:lvl w:ilvl="3" w:tplc="040C0001" w:tentative="1">
      <w:start w:val="1"/>
      <w:numFmt w:val="bullet"/>
      <w:lvlText w:val=""/>
      <w:lvlJc w:val="left"/>
      <w:pPr>
        <w:ind w:left="4352" w:hanging="360"/>
      </w:pPr>
      <w:rPr>
        <w:rFonts w:ascii="Symbol" w:hAnsi="Symbol" w:hint="default"/>
      </w:rPr>
    </w:lvl>
    <w:lvl w:ilvl="4" w:tplc="040C0003" w:tentative="1">
      <w:start w:val="1"/>
      <w:numFmt w:val="bullet"/>
      <w:lvlText w:val="o"/>
      <w:lvlJc w:val="left"/>
      <w:pPr>
        <w:ind w:left="5072" w:hanging="360"/>
      </w:pPr>
      <w:rPr>
        <w:rFonts w:ascii="Courier New" w:hAnsi="Courier New" w:cs="Courier New" w:hint="default"/>
      </w:rPr>
    </w:lvl>
    <w:lvl w:ilvl="5" w:tplc="040C0005" w:tentative="1">
      <w:start w:val="1"/>
      <w:numFmt w:val="bullet"/>
      <w:lvlText w:val=""/>
      <w:lvlJc w:val="left"/>
      <w:pPr>
        <w:ind w:left="5792" w:hanging="360"/>
      </w:pPr>
      <w:rPr>
        <w:rFonts w:ascii="Wingdings" w:hAnsi="Wingdings" w:hint="default"/>
      </w:rPr>
    </w:lvl>
    <w:lvl w:ilvl="6" w:tplc="040C0001" w:tentative="1">
      <w:start w:val="1"/>
      <w:numFmt w:val="bullet"/>
      <w:lvlText w:val=""/>
      <w:lvlJc w:val="left"/>
      <w:pPr>
        <w:ind w:left="6512" w:hanging="360"/>
      </w:pPr>
      <w:rPr>
        <w:rFonts w:ascii="Symbol" w:hAnsi="Symbol" w:hint="default"/>
      </w:rPr>
    </w:lvl>
    <w:lvl w:ilvl="7" w:tplc="040C0003" w:tentative="1">
      <w:start w:val="1"/>
      <w:numFmt w:val="bullet"/>
      <w:lvlText w:val="o"/>
      <w:lvlJc w:val="left"/>
      <w:pPr>
        <w:ind w:left="7232" w:hanging="360"/>
      </w:pPr>
      <w:rPr>
        <w:rFonts w:ascii="Courier New" w:hAnsi="Courier New" w:cs="Courier New" w:hint="default"/>
      </w:rPr>
    </w:lvl>
    <w:lvl w:ilvl="8" w:tplc="040C0005" w:tentative="1">
      <w:start w:val="1"/>
      <w:numFmt w:val="bullet"/>
      <w:lvlText w:val=""/>
      <w:lvlJc w:val="left"/>
      <w:pPr>
        <w:ind w:left="795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285"/>
    <w:rsid w:val="000A3231"/>
    <w:rsid w:val="00112285"/>
    <w:rsid w:val="00126867"/>
    <w:rsid w:val="001405BB"/>
    <w:rsid w:val="00225741"/>
    <w:rsid w:val="004E4968"/>
    <w:rsid w:val="00767A14"/>
    <w:rsid w:val="009436EF"/>
    <w:rsid w:val="00A47295"/>
    <w:rsid w:val="00A722A9"/>
    <w:rsid w:val="00C5280B"/>
    <w:rsid w:val="00C948BF"/>
    <w:rsid w:val="00D01A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22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2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1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438</Words>
  <Characters>2411</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Ihssane Messaoud</dc:creator>
  <cp:lastModifiedBy>Ihssane Messaoud</cp:lastModifiedBy>
  <cp:revision>11</cp:revision>
  <dcterms:created xsi:type="dcterms:W3CDTF">2017-07-19T09:06:00Z</dcterms:created>
  <dcterms:modified xsi:type="dcterms:W3CDTF">2017-07-19T09:22:00Z</dcterms:modified>
</cp:coreProperties>
</file>